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40" w:lineRule="exact"/>
        <w:rPr>
          <w:rFonts w:ascii="仿宋_GB2312" w:hAnsi="宋体" w:eastAsia="仿宋_GB2312" w:cs="Times New Roman"/>
          <w:color w:val="000000"/>
          <w:kern w:val="0"/>
          <w:sz w:val="32"/>
          <w:szCs w:val="24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32"/>
          <w:szCs w:val="24"/>
        </w:rPr>
        <w:t>附件2：</w:t>
      </w:r>
      <w:r>
        <w:rPr>
          <w:rFonts w:hint="eastAsia" w:ascii="方正小标宋简体" w:hAnsi="宋体" w:eastAsia="方正小标宋简体" w:cs="Times New Roman"/>
          <w:color w:val="000000"/>
          <w:kern w:val="0"/>
          <w:sz w:val="36"/>
          <w:szCs w:val="36"/>
        </w:rPr>
        <w:t>2016年校级奖励金学生奖推荐名额分配表</w:t>
      </w:r>
    </w:p>
    <w:p>
      <w:pPr>
        <w:spacing w:line="300" w:lineRule="exact"/>
        <w:jc w:val="left"/>
        <w:rPr>
          <w:rFonts w:ascii="黑体" w:hAnsi="宋体" w:eastAsia="黑体" w:cs="Times New Roman"/>
          <w:color w:val="000000"/>
          <w:spacing w:val="-6"/>
          <w:kern w:val="0"/>
          <w:sz w:val="30"/>
          <w:szCs w:val="21"/>
        </w:rPr>
      </w:pPr>
      <w:r>
        <w:rPr>
          <w:rFonts w:hint="eastAsia" w:ascii="黑体" w:hAnsi="宋体" w:eastAsia="黑体" w:cs="Times New Roman"/>
          <w:b/>
          <w:color w:val="000000"/>
          <w:kern w:val="0"/>
          <w:sz w:val="30"/>
          <w:szCs w:val="21"/>
        </w:rPr>
        <w:t>一、</w:t>
      </w:r>
      <w:r>
        <w:rPr>
          <w:rFonts w:hint="eastAsia" w:ascii="黑体" w:hAnsi="宋体" w:eastAsia="黑体" w:cs="Times New Roman"/>
          <w:b/>
          <w:color w:val="FF0000"/>
          <w:kern w:val="0"/>
          <w:sz w:val="30"/>
          <w:szCs w:val="21"/>
        </w:rPr>
        <w:t>本</w:t>
      </w:r>
      <w:r>
        <w:rPr>
          <w:rFonts w:hint="eastAsia" w:ascii="黑体" w:hAnsi="宋体" w:eastAsia="黑体" w:cs="Times New Roman"/>
          <w:b/>
          <w:color w:val="FF0000"/>
          <w:spacing w:val="-6"/>
          <w:kern w:val="0"/>
          <w:sz w:val="30"/>
          <w:szCs w:val="21"/>
        </w:rPr>
        <w:t>科生</w:t>
      </w:r>
      <w:r>
        <w:rPr>
          <w:rFonts w:hint="eastAsia" w:ascii="黑体" w:hAnsi="宋体" w:eastAsia="黑体" w:cs="Times New Roman"/>
          <w:b/>
          <w:color w:val="000000"/>
          <w:spacing w:val="-6"/>
          <w:kern w:val="0"/>
          <w:sz w:val="30"/>
          <w:szCs w:val="21"/>
        </w:rPr>
        <w:t>推荐名额</w:t>
      </w:r>
      <w:bookmarkStart w:id="6" w:name="_GoBack"/>
      <w:bookmarkEnd w:id="6"/>
    </w:p>
    <w:tbl>
      <w:tblPr>
        <w:tblStyle w:val="11"/>
        <w:tblW w:w="92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371"/>
        <w:gridCol w:w="441"/>
        <w:gridCol w:w="456"/>
        <w:gridCol w:w="456"/>
        <w:gridCol w:w="456"/>
        <w:gridCol w:w="456"/>
        <w:gridCol w:w="456"/>
        <w:gridCol w:w="456"/>
        <w:gridCol w:w="456"/>
        <w:gridCol w:w="426"/>
        <w:gridCol w:w="456"/>
        <w:gridCol w:w="456"/>
        <w:gridCol w:w="456"/>
        <w:gridCol w:w="456"/>
        <w:gridCol w:w="4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OLE_LINK3"/>
            <w:r>
              <w:rPr>
                <w:rFonts w:hint="eastAsia" w:ascii="宋体" w:hAnsi="宋体" w:cs="宋体"/>
                <w:kern w:val="0"/>
                <w:szCs w:val="21"/>
              </w:rPr>
              <w:t>二级单位</w:t>
            </w:r>
          </w:p>
        </w:tc>
        <w:tc>
          <w:tcPr>
            <w:tcW w:w="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宝钢教育奖</w:t>
            </w: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蒋维英助学金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茅以升铁路教育专项奖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钻石奖学金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山河英才一等奖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山河英才二等奖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米塔尔奖学金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黄培云教育奖励金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鑫恒教育奖励金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华东有色一等奖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华东有色二等奖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世纪海翔一等奖学金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世纪海翔二等奖学金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世纪海翔酬勤助学金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比亚迪奖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文学与新闻传播学院</w:t>
            </w:r>
          </w:p>
        </w:tc>
        <w:tc>
          <w:tcPr>
            <w:tcW w:w="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外国语学院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建筑与艺术学院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马克思主义学院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公共管理学院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数学与统计学院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物理与电子学院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化学化工学院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机电工程学院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FF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能源科学与工程学院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材料科学与工程学院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粉末冶金研究院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交通运输工程学院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冶金与环境学院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地球科学与信息物理学院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资源与安全工程学院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资源加工与生物工程学院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信息科学与工程学院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基础医学院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湘雅公共卫生学院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湘雅护理学院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口腔医学院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药学院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体育教研部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生命科学学院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航空航天学院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湘雅医学院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    计：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60</w:t>
            </w:r>
          </w:p>
        </w:tc>
      </w:tr>
      <w:bookmarkEnd w:id="0"/>
    </w:tbl>
    <w:p>
      <w:pPr>
        <w:spacing w:line="260" w:lineRule="atLeast"/>
        <w:ind w:left="-496" w:leftChars="-236" w:firstLine="738" w:firstLineChars="350"/>
        <w:rPr>
          <w:rFonts w:ascii="仿宋_GB2312" w:hAnsi="Times New Roman" w:eastAsia="仿宋_GB2312" w:cs="Times New Roman"/>
          <w:b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8" w:firstLineChars="350"/>
        <w:rPr>
          <w:rFonts w:ascii="仿宋_GB2312" w:hAnsi="Times New Roman" w:eastAsia="仿宋_GB2312" w:cs="Times New Roman"/>
          <w:b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8" w:firstLineChars="350"/>
        <w:rPr>
          <w:rFonts w:ascii="仿宋_GB2312" w:hAnsi="Times New Roman" w:eastAsia="仿宋_GB2312" w:cs="Times New Roman"/>
          <w:b/>
          <w:color w:val="000000"/>
          <w:kern w:val="0"/>
          <w:szCs w:val="21"/>
        </w:rPr>
      </w:pPr>
    </w:p>
    <w:tbl>
      <w:tblPr>
        <w:tblStyle w:val="11"/>
        <w:tblW w:w="1008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1" w:name="OLE_LINK4"/>
            <w:r>
              <w:rPr>
                <w:rFonts w:hint="eastAsia" w:ascii="宋体" w:hAnsi="宋体" w:cs="宋体"/>
                <w:kern w:val="0"/>
                <w:szCs w:val="21"/>
              </w:rPr>
              <w:t>二级单位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新华联A类助学金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新华联B类助学金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东岭集团奖学金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屈原奖学金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中矿地质奖特等奖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中矿地质奖一等奖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中矿地质奖二等奖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中矿地质奖助学金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华为奖学金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蔡田碹珠奖励基金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章源钨业奖学金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黄乾亨基金奖学金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黄乾亨基金助学金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陈国达奖一等奖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陈国达奖二等奖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中国电信奖学金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中国电信助学金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文学与新闻传播学院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外国语学院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建筑与艺术学院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马克思主义学院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公共管理学院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数学与统计学院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物理与电子学院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化学化工学院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机电工程学院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能源科学与工程学院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材料科学与工程学院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粉末冶金研究院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交通运输工程学院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冶金与环境学院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地球科学与信息物理学院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资源与安全工程学院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资源加工与生物工程学院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信息科学与工程学院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基础医学院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湘雅公共卫生学院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湘雅护理学院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口腔医学院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药学院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体育教研部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生命科学学院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航空航天学院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湘雅医学院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    计：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</w:t>
            </w:r>
          </w:p>
        </w:tc>
      </w:tr>
      <w:bookmarkEnd w:id="1"/>
    </w:tbl>
    <w:p>
      <w:pPr>
        <w:spacing w:line="260" w:lineRule="atLeast"/>
        <w:ind w:left="-496" w:leftChars="-236" w:firstLine="735" w:firstLineChars="350"/>
        <w:rPr>
          <w:rFonts w:ascii="仿宋_GB2312" w:hAnsi="Times New Roman" w:eastAsia="仿宋_GB2312" w:cs="Times New Roman"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5" w:firstLineChars="350"/>
        <w:rPr>
          <w:rFonts w:ascii="仿宋_GB2312" w:hAnsi="Times New Roman" w:eastAsia="仿宋_GB2312" w:cs="Times New Roman"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5" w:firstLineChars="350"/>
        <w:rPr>
          <w:rFonts w:ascii="仿宋_GB2312" w:hAnsi="Times New Roman" w:eastAsia="仿宋_GB2312" w:cs="Times New Roman"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5" w:firstLineChars="350"/>
        <w:rPr>
          <w:rFonts w:ascii="仿宋_GB2312" w:hAnsi="Times New Roman" w:eastAsia="仿宋_GB2312" w:cs="Times New Roman"/>
          <w:color w:val="000000"/>
          <w:kern w:val="0"/>
          <w:szCs w:val="21"/>
        </w:rPr>
      </w:pPr>
    </w:p>
    <w:p>
      <w:pPr>
        <w:spacing w:line="260" w:lineRule="atLeast"/>
        <w:ind w:left="-496" w:leftChars="-236" w:firstLine="735" w:firstLineChars="350"/>
        <w:rPr>
          <w:rFonts w:ascii="仿宋_GB2312" w:hAnsi="Times New Roman" w:eastAsia="仿宋_GB2312" w:cs="Times New Roman"/>
          <w:color w:val="000000"/>
          <w:kern w:val="0"/>
          <w:szCs w:val="21"/>
        </w:rPr>
      </w:pPr>
    </w:p>
    <w:tbl>
      <w:tblPr>
        <w:tblStyle w:val="11"/>
        <w:tblW w:w="97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456"/>
        <w:gridCol w:w="456"/>
        <w:gridCol w:w="456"/>
        <w:gridCol w:w="421"/>
        <w:gridCol w:w="567"/>
        <w:gridCol w:w="444"/>
        <w:gridCol w:w="431"/>
        <w:gridCol w:w="518"/>
        <w:gridCol w:w="474"/>
        <w:gridCol w:w="517"/>
        <w:gridCol w:w="439"/>
        <w:gridCol w:w="426"/>
        <w:gridCol w:w="448"/>
        <w:gridCol w:w="483"/>
        <w:gridCol w:w="61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2" w:name="OLE_LINK5"/>
            <w:r>
              <w:rPr>
                <w:rFonts w:hint="eastAsia" w:ascii="宋体" w:hAnsi="宋体" w:cs="宋体"/>
                <w:kern w:val="0"/>
                <w:szCs w:val="21"/>
              </w:rPr>
              <w:t>二级单位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联邦一等奖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联邦二等奖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烟台万华奖学金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FMG奖学金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顺丰助学金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汇顶奖学金</w:t>
            </w:r>
          </w:p>
        </w:tc>
        <w:tc>
          <w:tcPr>
            <w:tcW w:w="43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铜冠助学金</w:t>
            </w: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卢惠霖奖励金</w:t>
            </w:r>
          </w:p>
        </w:tc>
        <w:tc>
          <w:tcPr>
            <w:tcW w:w="4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海顺新材奖励金</w:t>
            </w: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魏桥铝电奖学金</w:t>
            </w:r>
          </w:p>
        </w:tc>
        <w:tc>
          <w:tcPr>
            <w:tcW w:w="4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未名奖学金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鑫迪科技奖学金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国民信和奖学金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懋天奖学金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/>
                <w:color w:val="000000"/>
                <w:szCs w:val="21"/>
              </w:rPr>
              <w:t>小  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文学与新闻传播学院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外国语学院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建筑与艺术学院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马克思主义学院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公共管理学院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数学与统计学院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物理与电子学院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化学化工学院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机电工程学院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能源科学与工程学院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材料科学与工程学院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粉末冶金研究院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交通运输工程学院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冶金与环境学院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地球科学与信息物理学院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资源与安全工程学院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资源加工与生物工程学院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信息科学与工程学院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67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基础医学院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湘雅公共卫生学院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湘雅护理学院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口腔医学院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药学院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体育教研部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Layout w:type="fixed"/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生命科学学院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航空航天学院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湘雅医学院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    计：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1285</w:t>
            </w:r>
          </w:p>
        </w:tc>
      </w:tr>
      <w:bookmarkEnd w:id="2"/>
    </w:tbl>
    <w:p>
      <w:pPr>
        <w:spacing w:line="260" w:lineRule="atLeast"/>
        <w:ind w:left="977" w:leftChars="114" w:hanging="738" w:hangingChars="350"/>
        <w:rPr>
          <w:rFonts w:ascii="仿宋_GB2312" w:hAnsi="Times New Roman" w:eastAsia="仿宋_GB2312" w:cs="Times New Roman"/>
          <w:b/>
          <w:color w:val="000000"/>
          <w:kern w:val="0"/>
          <w:szCs w:val="21"/>
        </w:rPr>
      </w:pPr>
    </w:p>
    <w:p>
      <w:pPr>
        <w:spacing w:line="260" w:lineRule="atLeast"/>
        <w:ind w:left="976" w:leftChars="51" w:hanging="869" w:hangingChars="412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color w:val="000000"/>
          <w:kern w:val="0"/>
          <w:szCs w:val="21"/>
        </w:rPr>
        <w:t>注：</w:t>
      </w:r>
      <w:r>
        <w:rPr>
          <w:rFonts w:hint="eastAsia" w:ascii="仿宋_GB2312" w:hAnsi="Times New Roman" w:eastAsia="仿宋_GB2312" w:cs="Times New Roman"/>
          <w:color w:val="000000"/>
          <w:kern w:val="0"/>
          <w:szCs w:val="21"/>
        </w:rPr>
        <w:t>汇</w:t>
      </w:r>
      <w:r>
        <w:rPr>
          <w:rFonts w:hint="eastAsia" w:ascii="仿宋_GB2312" w:hAnsi="Times New Roman" w:eastAsia="仿宋_GB2312" w:cs="Times New Roman"/>
          <w:color w:val="000000"/>
          <w:spacing w:val="-8"/>
          <w:kern w:val="0"/>
          <w:szCs w:val="21"/>
        </w:rPr>
        <w:t>顶科技奖学金按照120%下达名额为由深圳市汇顶科技股份有限公司自行评选并确定等级。</w:t>
      </w:r>
    </w:p>
    <w:p>
      <w:pPr>
        <w:widowControl/>
        <w:jc w:val="left"/>
        <w:rPr>
          <w:rFonts w:ascii="仿宋_GB2312" w:hAnsi="宋体" w:eastAsia="仿宋_GB2312" w:cs="宋体"/>
          <w:color w:val="000000"/>
          <w:spacing w:val="-14"/>
          <w:kern w:val="0"/>
          <w:sz w:val="18"/>
          <w:szCs w:val="18"/>
        </w:rPr>
        <w:sectPr>
          <w:headerReference r:id="rId3" w:type="default"/>
          <w:pgSz w:w="11906" w:h="16838"/>
          <w:pgMar w:top="1418" w:right="1644" w:bottom="1247" w:left="1644" w:header="851" w:footer="992" w:gutter="0"/>
          <w:cols w:space="720" w:num="1"/>
          <w:docGrid w:type="linesAndChars" w:linePitch="312" w:charSpace="0"/>
        </w:sectPr>
      </w:pPr>
    </w:p>
    <w:p>
      <w:pPr>
        <w:pageBreakBefore/>
        <w:rPr>
          <w:rFonts w:ascii="黑体" w:hAnsi="宋体" w:eastAsia="黑体" w:cs="Times New Roman"/>
          <w:color w:val="000000"/>
          <w:kern w:val="0"/>
          <w:sz w:val="30"/>
          <w:szCs w:val="21"/>
        </w:rPr>
      </w:pPr>
      <w:r>
        <w:rPr>
          <w:rFonts w:hint="eastAsia" w:ascii="黑体" w:hAnsi="Times New Roman" w:eastAsia="黑体" w:cs="Times New Roman"/>
          <w:color w:val="000000"/>
          <w:kern w:val="0"/>
          <w:sz w:val="30"/>
          <w:szCs w:val="24"/>
        </w:rPr>
        <w:t>二、</w:t>
      </w:r>
      <w:r>
        <w:rPr>
          <w:rFonts w:hint="eastAsia" w:ascii="黑体" w:hAnsi="Times New Roman" w:eastAsia="黑体" w:cs="Times New Roman"/>
          <w:color w:val="FF0000"/>
          <w:kern w:val="0"/>
          <w:sz w:val="30"/>
          <w:szCs w:val="24"/>
        </w:rPr>
        <w:t>硕士研究生</w:t>
      </w:r>
      <w:r>
        <w:rPr>
          <w:rFonts w:hint="eastAsia" w:ascii="黑体" w:hAnsi="Times New Roman" w:eastAsia="黑体" w:cs="Times New Roman"/>
          <w:color w:val="000000"/>
          <w:kern w:val="0"/>
          <w:sz w:val="30"/>
          <w:szCs w:val="24"/>
        </w:rPr>
        <w:t>推荐名额</w:t>
      </w:r>
    </w:p>
    <w:tbl>
      <w:tblPr>
        <w:tblStyle w:val="11"/>
        <w:tblW w:w="104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429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pacing w:val="-20"/>
                <w:kern w:val="0"/>
                <w:szCs w:val="21"/>
              </w:rPr>
            </w:pPr>
            <w:bookmarkStart w:id="3" w:name="OLE_LINK6"/>
            <w:r>
              <w:rPr>
                <w:rFonts w:hint="eastAsia" w:ascii="宋体" w:hAnsi="宋体" w:cs="宋体"/>
                <w:spacing w:val="-20"/>
                <w:kern w:val="0"/>
                <w:szCs w:val="21"/>
              </w:rPr>
              <w:t>二级单位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宝钢教育奖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钻石奖学金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米塔尔奖学金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黄培云教育奖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鑫恒教育奖励金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华东有色一等奖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华东有色二等奖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世纪海翔一等奖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世纪海翔二等奖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世纪海翔助学金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西北有色一等奖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西北有色二等奖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运动医学奖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比亚迪奖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东岭集团奖学金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中矿地质奖一等奖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中矿地质奖二等奖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中矿地质助学金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文学与新闻传播学院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外国语学院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建筑与艺术学院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商学院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法学院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马克思主义学院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公共管理学院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数学与统计学院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物理与电子学院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化学化工学院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pacing w:val="-20"/>
                <w:sz w:val="22"/>
              </w:rPr>
            </w:pPr>
            <w:r>
              <w:rPr>
                <w:rFonts w:hint="eastAsia"/>
                <w:b/>
                <w:bCs/>
                <w:color w:val="FF0000"/>
                <w:spacing w:val="-20"/>
                <w:sz w:val="22"/>
              </w:rPr>
              <w:t>机电工程学院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能源科学与工程学院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材料科学与工程学院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粉末冶金研究院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交通运输工程学院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土木工程学院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冶金与环境学院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地球科学与信息物理学院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资源与安全工程学院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资源加工与生物工程学院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信息科学与工程学院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基础医学院（生殖与干细胞工程研究中心）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湘雅公共卫生学院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湘雅护理学院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口腔医学院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药学院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体育教研部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生命科学学院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软件学院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航空航天学院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信息与网络中心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湘雅医学院（含医学检验系、湘雅国际转化医学联合研究院）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信息安全与大数据研究院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轻合金研究院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湘雅医院（含临床药理研究所）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湘雅二医院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湘雅三医院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爱尔眼科学院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湘雅医学院附属海口医院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湘雅医学院附属肿瘤医院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259" w:hRule="atLeast"/>
          <w:jc w:val="center"/>
        </w:trPr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合    计：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</w:tbl>
    <w:p/>
    <w:p/>
    <w:bookmarkEnd w:id="3"/>
    <w:tbl>
      <w:tblPr>
        <w:tblStyle w:val="11"/>
        <w:tblW w:w="111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6"/>
        <w:gridCol w:w="426"/>
        <w:gridCol w:w="416"/>
        <w:gridCol w:w="384"/>
        <w:gridCol w:w="425"/>
        <w:gridCol w:w="471"/>
        <w:gridCol w:w="6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4" w:name="OLE_LINK7"/>
            <w:r>
              <w:rPr>
                <w:rFonts w:hint="eastAsia" w:ascii="宋体" w:hAnsi="宋体" w:cs="宋体"/>
                <w:kern w:val="0"/>
                <w:szCs w:val="21"/>
              </w:rPr>
              <w:t>二级单位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华为奖学金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蔡田碹珠励金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章源钨业奖学金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陈国达奖一等奖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陈国达奖二等奖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中国电信奖学金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中国电信助学金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联邦一等奖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联邦二等奖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烟台万华奖学金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FMG奖学金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顺丰助学金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汇顶奖学金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卢惠霖奖励金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魏桥铝电奖学金</w:t>
            </w: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未名奖学金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鑫迪科技奖学金</w:t>
            </w:r>
          </w:p>
        </w:tc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励志奖励金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文学与新闻传播学院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外国语学院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建筑与艺术学院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商学院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27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法学院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马克思主义学院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公共管理学院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数学与统计学院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物理与电子学院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化学化工学院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13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/>
                <w:bCs/>
                <w:color w:val="FF0000"/>
                <w:spacing w:val="-20"/>
                <w:sz w:val="22"/>
              </w:rPr>
            </w:pPr>
            <w:r>
              <w:rPr>
                <w:rFonts w:hint="eastAsia"/>
                <w:b/>
                <w:bCs/>
                <w:color w:val="FF0000"/>
                <w:spacing w:val="-20"/>
                <w:sz w:val="22"/>
              </w:rPr>
              <w:t>机电工程学院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b/>
                <w:bCs/>
                <w:color w:val="FF0000"/>
                <w:spacing w:val="-2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FF0000"/>
                <w:spacing w:val="-20"/>
                <w:sz w:val="18"/>
                <w:szCs w:val="18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能源科学与工程学院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材料科学与工程学院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粉末冶金研究院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交通运输工程学院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土木工程学院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冶金与环境学院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地球科学与信息物理学院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资源与安全工程学院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资源加工与生物工程学院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信息科学与工程学院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基础医学院（生殖与干细胞工程研究中心）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7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湘雅公共卫生学院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湘雅护理学院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口腔医学院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药学院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体育教研部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生命科学学院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6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软件学院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航空航天学院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信息与网络中心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湘雅医学院（含医学检验系、湘雅国际转化医学联合研究院）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信息安全与大数据研究院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轻合金研究院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湘雅医院（含临床药理研究所）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湘雅二医院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湘雅三医院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爱尔眼科学院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湘雅医学院附属海口医院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湘雅医学院附属肿瘤医院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</w:t>
            </w:r>
          </w:p>
        </w:tc>
      </w:tr>
      <w:tr>
        <w:tblPrEx>
          <w:tblLayout w:type="fixed"/>
        </w:tblPrEx>
        <w:trPr>
          <w:trHeight w:val="275" w:hRule="atLeast"/>
          <w:jc w:val="center"/>
        </w:trPr>
        <w:tc>
          <w:tcPr>
            <w:tcW w:w="2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合    计：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color w:val="000000"/>
                <w:spacing w:val="-20"/>
                <w:sz w:val="18"/>
                <w:szCs w:val="18"/>
              </w:rPr>
              <w:t>366</w:t>
            </w:r>
          </w:p>
        </w:tc>
      </w:tr>
      <w:bookmarkEnd w:id="4"/>
    </w:tbl>
    <w:p>
      <w:pPr>
        <w:rPr>
          <w:rFonts w:cs="Times New Roman"/>
          <w:spacing w:val="-6"/>
        </w:rPr>
      </w:pPr>
      <w:r>
        <w:rPr>
          <w:rFonts w:hint="eastAsia" w:ascii="仿宋_GB2312" w:hAnsi="Times New Roman" w:eastAsia="仿宋_GB2312" w:cs="Times New Roman"/>
          <w:b/>
          <w:color w:val="000000"/>
          <w:kern w:val="0"/>
          <w:szCs w:val="21"/>
        </w:rPr>
        <w:t>注：</w:t>
      </w:r>
      <w:r>
        <w:rPr>
          <w:rFonts w:hint="eastAsia" w:ascii="仿宋_GB2312" w:hAnsi="Times New Roman" w:eastAsia="仿宋_GB2312" w:cs="Times New Roman"/>
          <w:color w:val="000000"/>
          <w:spacing w:val="-6"/>
          <w:kern w:val="0"/>
          <w:szCs w:val="21"/>
        </w:rPr>
        <w:t>汇顶科技奖学金和励志奖励金按照120%下达名额为由设奖单位自行评选并确定等级。</w:t>
      </w:r>
    </w:p>
    <w:p>
      <w:pPr>
        <w:pageBreakBefore/>
        <w:rPr>
          <w:rFonts w:ascii="黑体" w:hAnsi="Times New Roman" w:eastAsia="黑体" w:cs="Times New Roman"/>
          <w:color w:val="000000"/>
          <w:spacing w:val="-6"/>
          <w:kern w:val="0"/>
          <w:sz w:val="30"/>
          <w:szCs w:val="24"/>
        </w:rPr>
      </w:pPr>
      <w:r>
        <w:rPr>
          <w:rFonts w:hint="eastAsia" w:ascii="黑体" w:hAnsi="Times New Roman" w:eastAsia="黑体" w:cs="Times New Roman"/>
          <w:color w:val="000000"/>
          <w:kern w:val="0"/>
          <w:sz w:val="30"/>
          <w:szCs w:val="24"/>
        </w:rPr>
        <w:t>三、博士研究生推荐名额</w:t>
      </w:r>
    </w:p>
    <w:tbl>
      <w:tblPr>
        <w:tblStyle w:val="11"/>
        <w:tblW w:w="111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386"/>
        <w:gridCol w:w="386"/>
        <w:gridCol w:w="386"/>
        <w:gridCol w:w="386"/>
        <w:gridCol w:w="386"/>
        <w:gridCol w:w="386"/>
        <w:gridCol w:w="386"/>
        <w:gridCol w:w="426"/>
        <w:gridCol w:w="386"/>
        <w:gridCol w:w="386"/>
        <w:gridCol w:w="386"/>
        <w:gridCol w:w="386"/>
        <w:gridCol w:w="426"/>
        <w:gridCol w:w="426"/>
        <w:gridCol w:w="386"/>
        <w:gridCol w:w="426"/>
        <w:gridCol w:w="386"/>
        <w:gridCol w:w="426"/>
        <w:gridCol w:w="386"/>
        <w:gridCol w:w="344"/>
        <w:gridCol w:w="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jc w:val="center"/>
        </w:trPr>
        <w:tc>
          <w:tcPr>
            <w:tcW w:w="26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5" w:name="OLE_LINK8"/>
            <w:r>
              <w:rPr>
                <w:rFonts w:hint="eastAsia" w:ascii="宋体" w:hAnsi="宋体" w:cs="宋体"/>
                <w:kern w:val="0"/>
                <w:szCs w:val="21"/>
              </w:rPr>
              <w:t>二级单位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宝钢教育奖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茅以升铁路专项奖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钻石奖学金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米塔尔奖学金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黄培云教育奖励金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西北有色一等奖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西北有色二等奖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比亚迪奖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东岭集团奖学金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中矿地质奖一等奖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中矿地质奖二等奖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华为奖学金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蔡田碹珠奖励基金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中国电信奖学金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联邦一等奖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联邦二等奖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烟台万华奖学金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卢惠霖奖励金</w:t>
            </w:r>
          </w:p>
        </w:tc>
        <w:tc>
          <w:tcPr>
            <w:tcW w:w="38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Cs w:val="21"/>
              </w:rPr>
              <w:t>未名奖学金</w:t>
            </w:r>
          </w:p>
        </w:tc>
        <w:tc>
          <w:tcPr>
            <w:tcW w:w="3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励志奖励金</w:t>
            </w:r>
          </w:p>
        </w:tc>
        <w:tc>
          <w:tcPr>
            <w:tcW w:w="5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文学与新闻传播学院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外国语学院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建筑与艺术学院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商学院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法学院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马克思主义学院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公共管理学院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数学与统计学院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物理与电子学院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化学化工学院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机电工程学院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能源科学与工程学院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材料科学与工程学院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粉末冶金研究院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交通运输工程学院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土木工程学院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冶金与环境学院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地球科学与信息物理学院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资源与安全工程学院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资源加工与生物工程学院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信息科学与工程学院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基础医学院（生殖与干细胞工程研究中心）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湘雅公共卫生学院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湘雅护理学院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药学院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生命科学学院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软件学院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信息安全与大数据研究院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轻合金研究院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湘雅医院（含临床药理研究所）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湘雅二医院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湘雅三医院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爱尔眼科学院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湘雅医学院附属海口医院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268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pacing w:val="-20"/>
                <w:sz w:val="22"/>
              </w:rPr>
            </w:pPr>
            <w:r>
              <w:rPr>
                <w:rFonts w:hint="eastAsia"/>
                <w:color w:val="000000"/>
                <w:spacing w:val="-20"/>
                <w:sz w:val="22"/>
              </w:rPr>
              <w:t>湘雅医学院附属肿瘤医院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6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    计：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4" w:type="dxa"/>
            <w:vAlign w:val="center"/>
          </w:tcPr>
          <w:p>
            <w:pPr>
              <w:spacing w:line="240" w:lineRule="exact"/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6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122</w:t>
            </w:r>
          </w:p>
        </w:tc>
      </w:tr>
      <w:bookmarkEnd w:id="5"/>
    </w:tbl>
    <w:p>
      <w:pPr>
        <w:rPr>
          <w:rFonts w:cs="Times New Roman"/>
          <w:spacing w:val="-6"/>
        </w:rPr>
      </w:pPr>
      <w:r>
        <w:rPr>
          <w:rFonts w:hint="eastAsia" w:ascii="仿宋_GB2312" w:hAnsi="Times New Roman" w:eastAsia="仿宋_GB2312" w:cs="Times New Roman"/>
          <w:b/>
          <w:color w:val="000000"/>
          <w:kern w:val="0"/>
          <w:szCs w:val="21"/>
        </w:rPr>
        <w:t>注：</w:t>
      </w:r>
      <w:r>
        <w:rPr>
          <w:rFonts w:hint="eastAsia" w:ascii="仿宋_GB2312" w:hAnsi="Times New Roman" w:eastAsia="仿宋_GB2312" w:cs="Times New Roman"/>
          <w:color w:val="000000"/>
          <w:spacing w:val="-6"/>
          <w:kern w:val="0"/>
          <w:szCs w:val="21"/>
        </w:rPr>
        <w:t>励志奖励金按照120%下达名额为由设奖单位自行评选并确定等级。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567" w:left="1800" w:header="851" w:footer="3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0C"/>
    <w:rsid w:val="00081E86"/>
    <w:rsid w:val="0009678A"/>
    <w:rsid w:val="000A5DA0"/>
    <w:rsid w:val="000E470B"/>
    <w:rsid w:val="00131213"/>
    <w:rsid w:val="00191AA5"/>
    <w:rsid w:val="001C44BB"/>
    <w:rsid w:val="002C7E8A"/>
    <w:rsid w:val="00520AF7"/>
    <w:rsid w:val="005632F6"/>
    <w:rsid w:val="005F74B4"/>
    <w:rsid w:val="005F7668"/>
    <w:rsid w:val="006670E3"/>
    <w:rsid w:val="00680BC8"/>
    <w:rsid w:val="006D4940"/>
    <w:rsid w:val="006E7B32"/>
    <w:rsid w:val="00712D5A"/>
    <w:rsid w:val="0071570C"/>
    <w:rsid w:val="007E7819"/>
    <w:rsid w:val="00864C50"/>
    <w:rsid w:val="00893918"/>
    <w:rsid w:val="008B21BC"/>
    <w:rsid w:val="008D490D"/>
    <w:rsid w:val="009123E5"/>
    <w:rsid w:val="009237E0"/>
    <w:rsid w:val="00B309D7"/>
    <w:rsid w:val="00BD2108"/>
    <w:rsid w:val="00D87E48"/>
    <w:rsid w:val="00EF7FF9"/>
    <w:rsid w:val="00F2779C"/>
    <w:rsid w:val="00FF1677"/>
    <w:rsid w:val="2F060BEA"/>
    <w:rsid w:val="48D835DB"/>
    <w:rsid w:val="7A5476B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42"/>
    <w:qFormat/>
    <w:uiPriority w:val="0"/>
    <w:pPr>
      <w:keepNext/>
      <w:keepLines/>
      <w:tabs>
        <w:tab w:val="left" w:pos="2200"/>
      </w:tabs>
      <w:spacing w:before="340" w:after="330" w:line="576" w:lineRule="auto"/>
      <w:ind w:left="825" w:hanging="425"/>
      <w:outlineLvl w:val="0"/>
    </w:pPr>
    <w:rPr>
      <w:rFonts w:ascii="仿宋_GB2312" w:hAnsi="Times New Roman" w:eastAsia="仿宋_GB2312" w:cs="Times New Roman"/>
      <w:b/>
      <w:bCs/>
      <w:color w:val="000000"/>
      <w:kern w:val="44"/>
      <w:sz w:val="44"/>
      <w:szCs w:val="44"/>
    </w:rPr>
  </w:style>
  <w:style w:type="paragraph" w:styleId="3">
    <w:name w:val="heading 2"/>
    <w:basedOn w:val="1"/>
    <w:next w:val="1"/>
    <w:link w:val="43"/>
    <w:unhideWhenUsed/>
    <w:qFormat/>
    <w:uiPriority w:val="0"/>
    <w:pPr>
      <w:keepNext/>
      <w:keepLines/>
      <w:tabs>
        <w:tab w:val="left" w:pos="2200"/>
      </w:tabs>
      <w:spacing w:before="260" w:after="260" w:line="415" w:lineRule="auto"/>
      <w:ind w:left="967" w:hanging="567"/>
      <w:outlineLvl w:val="1"/>
    </w:pPr>
    <w:rPr>
      <w:rFonts w:ascii="Arial" w:hAnsi="Arial" w:eastAsia="黑体" w:cs="Times New Roman"/>
      <w:b/>
      <w:bCs/>
      <w:color w:val="000000"/>
      <w:kern w:val="0"/>
      <w:sz w:val="32"/>
      <w:szCs w:val="32"/>
    </w:rPr>
  </w:style>
  <w:style w:type="paragraph" w:styleId="4">
    <w:name w:val="heading 3"/>
    <w:basedOn w:val="1"/>
    <w:next w:val="1"/>
    <w:link w:val="44"/>
    <w:unhideWhenUsed/>
    <w:qFormat/>
    <w:uiPriority w:val="0"/>
    <w:pPr>
      <w:keepNext/>
      <w:keepLines/>
      <w:spacing w:before="120" w:after="120"/>
      <w:ind w:left="709" w:hanging="709"/>
      <w:outlineLvl w:val="2"/>
    </w:pPr>
    <w:rPr>
      <w:rFonts w:ascii="仿宋_GB2312" w:hAnsi="Times New Roman" w:eastAsia="仿宋_GB2312" w:cs="Times New Roman"/>
      <w:b/>
      <w:bCs/>
      <w:color w:val="000000"/>
      <w:kern w:val="0"/>
      <w:sz w:val="28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45"/>
    <w:unhideWhenUsed/>
    <w:qFormat/>
    <w:uiPriority w:val="0"/>
    <w:rPr>
      <w:rFonts w:ascii="仿宋_GB2312" w:hAnsi="Times New Roman" w:eastAsia="仿宋_GB2312" w:cs="Times New Roman"/>
      <w:color w:val="000000"/>
      <w:kern w:val="0"/>
      <w:sz w:val="18"/>
      <w:szCs w:val="18"/>
    </w:rPr>
  </w:style>
  <w:style w:type="paragraph" w:styleId="6">
    <w:name w:val="footer"/>
    <w:basedOn w:val="1"/>
    <w:link w:val="4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4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_Style 6"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14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16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19">
    <w:name w:val="文档标题"/>
    <w:basedOn w:val="1"/>
    <w:uiPriority w:val="0"/>
    <w:rPr>
      <w:rFonts w:ascii="仿宋_GB2312" w:hAnsi="Times New Roman" w:eastAsia="黑体" w:cs="Times New Roman"/>
      <w:b/>
      <w:color w:val="000000"/>
      <w:kern w:val="0"/>
      <w:sz w:val="36"/>
      <w:szCs w:val="24"/>
    </w:rPr>
  </w:style>
  <w:style w:type="paragraph" w:customStyle="1" w:styleId="20">
    <w:name w:val="文章标题"/>
    <w:basedOn w:val="1"/>
    <w:qFormat/>
    <w:uiPriority w:val="0"/>
    <w:pPr>
      <w:spacing w:afterLines="200" w:line="360" w:lineRule="auto"/>
      <w:jc w:val="center"/>
    </w:pPr>
    <w:rPr>
      <w:rFonts w:ascii="黑体" w:hAnsi="Times New Roman" w:eastAsia="黑体" w:cs="Times New Roman"/>
      <w:color w:val="000000"/>
      <w:kern w:val="0"/>
      <w:sz w:val="36"/>
      <w:szCs w:val="24"/>
    </w:rPr>
  </w:style>
  <w:style w:type="paragraph" w:customStyle="1" w:styleId="21">
    <w:name w:val="正文列表"/>
    <w:basedOn w:val="1"/>
    <w:uiPriority w:val="0"/>
    <w:pPr>
      <w:ind w:left="567" w:hanging="454"/>
      <w:outlineLvl w:val="3"/>
    </w:pPr>
    <w:rPr>
      <w:rFonts w:ascii="仿宋_GB2312" w:hAnsi="Times New Roman" w:eastAsia="仿宋_GB2312" w:cs="Times New Roman"/>
      <w:color w:val="000000"/>
      <w:kern w:val="0"/>
      <w:sz w:val="30"/>
      <w:szCs w:val="24"/>
    </w:rPr>
  </w:style>
  <w:style w:type="paragraph" w:customStyle="1" w:styleId="22">
    <w:name w:val="正文列表二级"/>
    <w:basedOn w:val="21"/>
    <w:uiPriority w:val="0"/>
    <w:pPr>
      <w:tabs>
        <w:tab w:val="left" w:pos="947"/>
      </w:tabs>
      <w:ind w:left="420" w:hanging="193"/>
    </w:pPr>
  </w:style>
  <w:style w:type="paragraph" w:customStyle="1" w:styleId="23">
    <w:name w:val="图表字体"/>
    <w:basedOn w:val="1"/>
    <w:uiPriority w:val="0"/>
    <w:pPr>
      <w:jc w:val="center"/>
    </w:pPr>
    <w:rPr>
      <w:rFonts w:ascii="仿宋_GB2312" w:hAnsi="宋体" w:eastAsia="仿宋_GB2312" w:cs="Times New Roman"/>
      <w:color w:val="000000"/>
      <w:kern w:val="0"/>
      <w:sz w:val="30"/>
      <w:szCs w:val="24"/>
    </w:rPr>
  </w:style>
  <w:style w:type="paragraph" w:customStyle="1" w:styleId="24">
    <w:name w:val="地址"/>
    <w:basedOn w:val="1"/>
    <w:uiPriority w:val="0"/>
    <w:rPr>
      <w:rFonts w:ascii="仿宋_GB2312" w:hAnsi="Times New Roman" w:eastAsia="仿宋_GB2312" w:cs="Times New Roman"/>
      <w:color w:val="000000"/>
      <w:kern w:val="0"/>
      <w:szCs w:val="24"/>
    </w:rPr>
  </w:style>
  <w:style w:type="paragraph" w:customStyle="1" w:styleId="2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26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7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29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0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2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33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37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8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9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页眉 Char"/>
    <w:basedOn w:val="8"/>
    <w:link w:val="7"/>
    <w:qFormat/>
    <w:uiPriority w:val="0"/>
    <w:rPr>
      <w:sz w:val="18"/>
      <w:szCs w:val="18"/>
    </w:rPr>
  </w:style>
  <w:style w:type="character" w:customStyle="1" w:styleId="41">
    <w:name w:val="页脚 Char"/>
    <w:basedOn w:val="8"/>
    <w:link w:val="6"/>
    <w:qFormat/>
    <w:uiPriority w:val="0"/>
    <w:rPr>
      <w:sz w:val="18"/>
      <w:szCs w:val="18"/>
    </w:rPr>
  </w:style>
  <w:style w:type="character" w:customStyle="1" w:styleId="42">
    <w:name w:val="标题 1 Char"/>
    <w:basedOn w:val="8"/>
    <w:link w:val="2"/>
    <w:uiPriority w:val="0"/>
    <w:rPr>
      <w:rFonts w:ascii="仿宋_GB2312" w:hAnsi="Times New Roman" w:eastAsia="仿宋_GB2312" w:cs="Times New Roman"/>
      <w:b/>
      <w:bCs/>
      <w:color w:val="000000"/>
      <w:kern w:val="44"/>
      <w:sz w:val="44"/>
      <w:szCs w:val="44"/>
    </w:rPr>
  </w:style>
  <w:style w:type="character" w:customStyle="1" w:styleId="43">
    <w:name w:val="标题 2 Char"/>
    <w:basedOn w:val="8"/>
    <w:link w:val="3"/>
    <w:qFormat/>
    <w:uiPriority w:val="0"/>
    <w:rPr>
      <w:rFonts w:ascii="Arial" w:hAnsi="Arial" w:eastAsia="黑体" w:cs="Times New Roman"/>
      <w:b/>
      <w:bCs/>
      <w:color w:val="000000"/>
      <w:kern w:val="0"/>
      <w:sz w:val="32"/>
      <w:szCs w:val="32"/>
    </w:rPr>
  </w:style>
  <w:style w:type="character" w:customStyle="1" w:styleId="44">
    <w:name w:val="标题 3 Char"/>
    <w:basedOn w:val="8"/>
    <w:link w:val="4"/>
    <w:qFormat/>
    <w:uiPriority w:val="0"/>
    <w:rPr>
      <w:rFonts w:ascii="仿宋_GB2312" w:hAnsi="Times New Roman" w:eastAsia="仿宋_GB2312" w:cs="Times New Roman"/>
      <w:b/>
      <w:bCs/>
      <w:color w:val="000000"/>
      <w:kern w:val="0"/>
      <w:sz w:val="28"/>
      <w:szCs w:val="32"/>
    </w:rPr>
  </w:style>
  <w:style w:type="character" w:customStyle="1" w:styleId="45">
    <w:name w:val="批注框文本 Char"/>
    <w:basedOn w:val="8"/>
    <w:link w:val="5"/>
    <w:uiPriority w:val="0"/>
    <w:rPr>
      <w:rFonts w:ascii="仿宋_GB2312" w:hAnsi="Times New Roman" w:eastAsia="仿宋_GB2312" w:cs="Times New Roman"/>
      <w:color w:val="000000"/>
      <w:kern w:val="0"/>
      <w:sz w:val="18"/>
      <w:szCs w:val="18"/>
    </w:rPr>
  </w:style>
  <w:style w:type="character" w:customStyle="1" w:styleId="46">
    <w:name w:val="页脚 Char1"/>
    <w:semiHidden/>
    <w:qFormat/>
    <w:uiPriority w:val="99"/>
    <w:rPr>
      <w:kern w:val="2"/>
      <w:sz w:val="18"/>
      <w:szCs w:val="18"/>
    </w:rPr>
  </w:style>
  <w:style w:type="character" w:customStyle="1" w:styleId="47">
    <w:name w:val="批注框文本 Char1"/>
    <w:semiHidden/>
    <w:qFormat/>
    <w:uiPriority w:val="99"/>
    <w:rPr>
      <w:kern w:val="2"/>
      <w:sz w:val="18"/>
      <w:szCs w:val="18"/>
    </w:rPr>
  </w:style>
  <w:style w:type="character" w:customStyle="1" w:styleId="48">
    <w:name w:val="页眉 Char1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1179</Words>
  <Characters>6723</Characters>
  <Lines>56</Lines>
  <Paragraphs>15</Paragraphs>
  <ScaleCrop>false</ScaleCrop>
  <LinksUpToDate>false</LinksUpToDate>
  <CharactersWithSpaces>7887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2016-07-13T01:40:00Z</dcterms:created>
  <dc:creator>周新宏</dc:creator>
  <cp:lastModifiedBy>Administrator</cp:lastModifiedBy>
  <cp:lastPrinted>2016-07-14T00:03:00Z</cp:lastPrinted>
  <dcterms:modified xsi:type="dcterms:W3CDTF">2016-08-24T08:21:44Z</dcterms:modified>
  <dc:title>附件2：2015年校级奖励金学生奖推荐名额分配表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